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8ABB" w14:textId="0B44D27A" w:rsidR="00102465" w:rsidRPr="00B266B0" w:rsidRDefault="00102465" w:rsidP="00102465">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#97bis</w:t>
      </w:r>
      <w:r w:rsidRPr="00B266B0">
        <w:rPr>
          <w:bCs/>
          <w:noProof w:val="0"/>
          <w:sz w:val="24"/>
          <w:szCs w:val="24"/>
        </w:rPr>
        <w:tab/>
      </w:r>
      <w:r w:rsidR="004F42A2" w:rsidRPr="004F42A2">
        <w:rPr>
          <w:bCs/>
          <w:noProof w:val="0"/>
          <w:sz w:val="24"/>
          <w:szCs w:val="24"/>
        </w:rPr>
        <w:t>R2-1702776</w:t>
      </w:r>
      <w:r w:rsidR="004F42A2" w:rsidRPr="004F42A2" w:rsidDel="004F42A2">
        <w:rPr>
          <w:rFonts w:hint="eastAsia"/>
          <w:bCs/>
          <w:noProof w:val="0"/>
          <w:sz w:val="24"/>
          <w:szCs w:val="24"/>
        </w:rPr>
        <w:t xml:space="preserve"> </w:t>
      </w:r>
    </w:p>
    <w:p w14:paraId="062A8ABC" w14:textId="77777777" w:rsidR="00102465" w:rsidRPr="00B266B0" w:rsidRDefault="00102465" w:rsidP="00102465">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 xml:space="preserve">3 - 7 April </w:t>
      </w:r>
      <w:r w:rsidRPr="00C24650">
        <w:rPr>
          <w:rFonts w:eastAsia="SimSun"/>
          <w:noProof w:val="0"/>
          <w:sz w:val="24"/>
          <w:szCs w:val="24"/>
          <w:lang w:eastAsia="zh-CN"/>
        </w:rPr>
        <w:t>201</w:t>
      </w:r>
      <w:r>
        <w:rPr>
          <w:rFonts w:eastAsia="SimSun"/>
          <w:noProof w:val="0"/>
          <w:sz w:val="24"/>
          <w:szCs w:val="24"/>
          <w:lang w:eastAsia="zh-CN"/>
        </w:rPr>
        <w:t>7</w:t>
      </w:r>
    </w:p>
    <w:p w14:paraId="062A8ABD" w14:textId="77777777" w:rsidR="00102465" w:rsidRPr="00B266B0" w:rsidRDefault="00102465" w:rsidP="00102465">
      <w:pPr>
        <w:pStyle w:val="Header"/>
        <w:rPr>
          <w:bCs/>
          <w:noProof w:val="0"/>
          <w:sz w:val="24"/>
        </w:rPr>
      </w:pPr>
    </w:p>
    <w:p w14:paraId="062A8ABE" w14:textId="77777777" w:rsidR="00102465" w:rsidRPr="00B266B0" w:rsidRDefault="00102465" w:rsidP="00102465">
      <w:pPr>
        <w:pStyle w:val="Header"/>
        <w:rPr>
          <w:bCs/>
          <w:noProof w:val="0"/>
          <w:sz w:val="24"/>
        </w:rPr>
      </w:pPr>
    </w:p>
    <w:p w14:paraId="062A8ABF" w14:textId="6A4B3707" w:rsidR="00102465" w:rsidRPr="00B266B0" w:rsidRDefault="00102465" w:rsidP="0010246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42A2" w:rsidRPr="004F42A2">
        <w:rPr>
          <w:rFonts w:cs="Arial"/>
          <w:b/>
          <w:bCs/>
          <w:sz w:val="24"/>
        </w:rPr>
        <w:t>10.2.2.2</w:t>
      </w:r>
    </w:p>
    <w:p w14:paraId="062A8AC0" w14:textId="532D5E11" w:rsidR="00102465" w:rsidRPr="00B266B0" w:rsidRDefault="00102465" w:rsidP="0010246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r w:rsidR="004F42A2">
        <w:rPr>
          <w:rFonts w:ascii="Arial" w:hAnsi="Arial" w:cs="Arial"/>
          <w:b/>
          <w:bCs/>
          <w:sz w:val="24"/>
        </w:rPr>
        <w:t xml:space="preserve">, </w:t>
      </w:r>
      <w:r w:rsidR="004F42A2" w:rsidRPr="004F42A2">
        <w:rPr>
          <w:rFonts w:ascii="Arial" w:hAnsi="Arial" w:cs="Arial"/>
          <w:b/>
          <w:bCs/>
          <w:sz w:val="24"/>
        </w:rPr>
        <w:t>KDDI Corporation</w:t>
      </w:r>
    </w:p>
    <w:p w14:paraId="062A8AC1" w14:textId="628B0045" w:rsidR="00102465" w:rsidRDefault="00102465" w:rsidP="0010246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Further considerations for </w:t>
      </w:r>
      <w:r w:rsidR="00275FFA">
        <w:rPr>
          <w:rFonts w:ascii="Arial" w:hAnsi="Arial" w:cs="Arial"/>
          <w:b/>
          <w:bCs/>
          <w:sz w:val="24"/>
        </w:rPr>
        <w:t>SCG and SN node change</w:t>
      </w:r>
    </w:p>
    <w:p w14:paraId="062A8AC2" w14:textId="72D0BFA1" w:rsidR="00102465" w:rsidRPr="00B266B0" w:rsidRDefault="00102465" w:rsidP="0010246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F42A2" w:rsidRPr="004F42A2">
        <w:rPr>
          <w:rFonts w:ascii="Arial" w:hAnsi="Arial" w:cs="Arial"/>
          <w:b/>
          <w:bCs/>
          <w:sz w:val="24"/>
        </w:rPr>
        <w:t>NR_newRAT (Release 15)</w:t>
      </w:r>
      <w:r w:rsidR="004F42A2" w:rsidRPr="004F42A2" w:rsidDel="004F42A2">
        <w:rPr>
          <w:rFonts w:ascii="Arial" w:hAnsi="Arial" w:cs="Arial"/>
          <w:b/>
          <w:bCs/>
          <w:sz w:val="24"/>
        </w:rPr>
        <w:t xml:space="preserve"> </w:t>
      </w:r>
    </w:p>
    <w:p w14:paraId="062A8AC3" w14:textId="77777777" w:rsidR="00CD4C7B" w:rsidRPr="00B266B0" w:rsidRDefault="00102465" w:rsidP="0010246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62A8AC4" w14:textId="77777777" w:rsidR="00CD4C7B" w:rsidRPr="006E13D1" w:rsidRDefault="00CD4C7B" w:rsidP="00CD4C7B">
      <w:pPr>
        <w:pStyle w:val="Heading1"/>
      </w:pPr>
      <w:r w:rsidRPr="006E13D1">
        <w:t>1</w:t>
      </w:r>
      <w:r w:rsidRPr="006E13D1">
        <w:tab/>
      </w:r>
      <w:r w:rsidR="0056573F">
        <w:t>Introduction</w:t>
      </w:r>
    </w:p>
    <w:p w14:paraId="062A8AC5" w14:textId="1F3F9E91" w:rsidR="00CD4C7B" w:rsidRDefault="00102465" w:rsidP="00CD4C7B">
      <w:r>
        <w:t>In the 3GPP NR RAN2#97 meeting in Athens</w:t>
      </w:r>
      <w:r w:rsidR="005C1E5C">
        <w:t xml:space="preserve"> [3]</w:t>
      </w:r>
      <w:r>
        <w:t>, the following agreements were made for the secondary node change procedure for LTE/NR dual connectivity</w:t>
      </w:r>
      <w:r w:rsidR="005C1E5C">
        <w:t xml:space="preserve"> (see also [1] and [2])</w:t>
      </w:r>
      <w:r>
        <w:t>:</w:t>
      </w:r>
    </w:p>
    <w:p w14:paraId="062A8AC6" w14:textId="77777777" w:rsidR="00102465" w:rsidRDefault="00102465" w:rsidP="00102465">
      <w:pPr>
        <w:pStyle w:val="Doc-text2"/>
        <w:pBdr>
          <w:top w:val="single" w:sz="4" w:space="1" w:color="auto"/>
          <w:left w:val="single" w:sz="4" w:space="4" w:color="auto"/>
          <w:bottom w:val="single" w:sz="4" w:space="1" w:color="auto"/>
          <w:right w:val="single" w:sz="4" w:space="4" w:color="auto"/>
        </w:pBdr>
      </w:pPr>
      <w:r>
        <w:t>Agreements</w:t>
      </w:r>
    </w:p>
    <w:p w14:paraId="062A8AC7" w14:textId="77777777" w:rsidR="00102465" w:rsidRDefault="00102465" w:rsidP="00102465">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14:paraId="062A8AC8" w14:textId="77777777" w:rsidR="00102465" w:rsidRDefault="00102465" w:rsidP="00102465">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14:paraId="062A8AC9" w14:textId="77777777" w:rsidR="00102465" w:rsidRDefault="00102465" w:rsidP="00102465">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14:paraId="062A8ACA" w14:textId="77777777" w:rsidR="00102465" w:rsidRDefault="00102465" w:rsidP="00102465">
      <w:pPr>
        <w:pStyle w:val="Doc-text2"/>
        <w:pBdr>
          <w:top w:val="single" w:sz="4" w:space="1" w:color="auto"/>
          <w:left w:val="single" w:sz="4" w:space="4" w:color="auto"/>
          <w:bottom w:val="single" w:sz="4" w:space="1" w:color="auto"/>
          <w:right w:val="single" w:sz="4" w:space="4" w:color="auto"/>
        </w:pBdr>
      </w:pPr>
      <w:r>
        <w:t>FFS what additional information can be provided from the SN to the MN when the SN change is initiated.</w:t>
      </w:r>
    </w:p>
    <w:p w14:paraId="062A8ACB" w14:textId="77777777" w:rsidR="00102465" w:rsidRDefault="00102465" w:rsidP="00102465">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14:paraId="062A8ACC" w14:textId="77777777" w:rsidR="00102465" w:rsidRDefault="00102465" w:rsidP="00CD4C7B"/>
    <w:p w14:paraId="062A8ACD" w14:textId="31E6E45B" w:rsidR="003E08E5" w:rsidRPr="006E13D1" w:rsidRDefault="003E08E5" w:rsidP="00CD4C7B">
      <w:r>
        <w:t>In this contribution, we provide our views on how the FFS aspects could be resolved.</w:t>
      </w:r>
    </w:p>
    <w:p w14:paraId="062A8ACE" w14:textId="77777777" w:rsidR="00CD4C7B" w:rsidRPr="006E13D1" w:rsidRDefault="00CD4C7B" w:rsidP="00CD4C7B">
      <w:pPr>
        <w:pStyle w:val="Heading1"/>
      </w:pPr>
      <w:r w:rsidRPr="006E13D1">
        <w:t>2</w:t>
      </w:r>
      <w:r w:rsidRPr="006E13D1">
        <w:tab/>
      </w:r>
      <w:r w:rsidR="003E08E5">
        <w:t xml:space="preserve">Motivation for </w:t>
      </w:r>
      <w:r w:rsidR="00CE06F6">
        <w:t>involving the MN</w:t>
      </w:r>
      <w:r w:rsidR="009E564D">
        <w:t xml:space="preserve"> (e.g.</w:t>
      </w:r>
      <w:r w:rsidR="00FA7F45">
        <w:t xml:space="preserve"> </w:t>
      </w:r>
      <w:r w:rsidR="009E564D">
        <w:t>SN cell change without PDCP change)</w:t>
      </w:r>
    </w:p>
    <w:p w14:paraId="062A8ACF" w14:textId="77777777" w:rsidR="00F2548F" w:rsidRDefault="00F2548F" w:rsidP="00F2548F">
      <w:pPr>
        <w:pStyle w:val="Doc-text2"/>
        <w:pBdr>
          <w:top w:val="single" w:sz="4" w:space="1" w:color="auto"/>
          <w:left w:val="single" w:sz="4" w:space="4" w:color="auto"/>
          <w:bottom w:val="single" w:sz="4" w:space="1" w:color="auto"/>
          <w:right w:val="single" w:sz="4" w:space="4" w:color="auto"/>
        </w:pBdr>
      </w:pPr>
      <w:r>
        <w:t>2</w:t>
      </w:r>
      <w:r>
        <w:tab/>
        <w:t xml:space="preserve">In some cases the MN is involved and takes final decision before the secondary node change occurs. </w:t>
      </w:r>
      <w:r w:rsidRPr="009E564D">
        <w:rPr>
          <w:b/>
        </w:rPr>
        <w:t>FFS whether the MN needs to be involved for other cases (e.g. SN cell change without PDCP change</w:t>
      </w:r>
      <w:r>
        <w:t>)</w:t>
      </w:r>
    </w:p>
    <w:p w14:paraId="062A8AD0" w14:textId="77777777" w:rsidR="004A67E4" w:rsidRDefault="004A67E4" w:rsidP="001B49C9"/>
    <w:p w14:paraId="062A8AD1" w14:textId="3D139D38" w:rsidR="00921964" w:rsidRDefault="00CE0A69" w:rsidP="001B49C9">
      <w:r>
        <w:t>In this section, we refer to Scenario 3</w:t>
      </w:r>
      <w:r w:rsidRPr="009A56BE">
        <w:t xml:space="preserve"> </w:t>
      </w:r>
      <w:r>
        <w:t>(</w:t>
      </w:r>
      <w:r w:rsidRPr="009A56BE">
        <w:t>LTE-NR tight int</w:t>
      </w:r>
      <w:r>
        <w:t>erworking deployment scenarios: RP-161266) where MeNB is the Master Node (MN) and the SgNB is the Secondary Node (SN). W</w:t>
      </w:r>
      <w:r w:rsidR="004A67E4">
        <w:t xml:space="preserve">e discuss </w:t>
      </w:r>
      <w:r w:rsidR="004A67E4" w:rsidRPr="004A67E4">
        <w:t>whether the MN needs to be involved for other cases (e.g. SN cell change without PDCP change)</w:t>
      </w:r>
      <w:r w:rsidR="004A67E4">
        <w:t xml:space="preserve"> under both non-cloudified and cloudified network deployments. The cloudified deployment scenario is draw in a simplified manner in Figure 1 below.</w:t>
      </w:r>
    </w:p>
    <w:p w14:paraId="062A8AD2" w14:textId="77777777" w:rsidR="00921964" w:rsidRDefault="00FA7F45" w:rsidP="00921964">
      <w:pPr>
        <w:jc w:val="center"/>
      </w:pPr>
      <w:r>
        <w:object w:dxaOrig="5592" w:dyaOrig="2899" w14:anchorId="062A8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02.5pt" o:ole="">
            <v:imagedata r:id="rId11" o:title=""/>
          </v:shape>
          <o:OLEObject Type="Embed" ProgID="Visio.Drawing.11" ShapeID="_x0000_i1025" DrawAspect="Content" ObjectID="_1551875989" r:id="rId12"/>
        </w:object>
      </w:r>
    </w:p>
    <w:p w14:paraId="062A8AD3" w14:textId="77777777" w:rsidR="00921964" w:rsidRPr="006E13D1" w:rsidRDefault="00921964" w:rsidP="00921964">
      <w:pPr>
        <w:pStyle w:val="TF"/>
      </w:pPr>
      <w:r w:rsidRPr="006E13D1">
        <w:t xml:space="preserve">Figure </w:t>
      </w:r>
      <w:r>
        <w:t>2-1: Tight Interworking example</w:t>
      </w:r>
    </w:p>
    <w:p w14:paraId="062A8AD4" w14:textId="4D6970A0" w:rsidR="00EC2059" w:rsidRDefault="00EC2059" w:rsidP="00921964">
      <w:r>
        <w:lastRenderedPageBreak/>
        <w:t>The role</w:t>
      </w:r>
      <w:r w:rsidR="00541BD2">
        <w:t>s of</w:t>
      </w:r>
      <w:r>
        <w:t xml:space="preserve"> the MN</w:t>
      </w:r>
      <w:r w:rsidR="00FA7F45">
        <w:t xml:space="preserve"> </w:t>
      </w:r>
      <w:r w:rsidR="004A67E4">
        <w:t xml:space="preserve">and SN </w:t>
      </w:r>
      <w:r w:rsidR="00FA7F45">
        <w:t>(</w:t>
      </w:r>
      <w:r w:rsidR="00541BD2">
        <w:t xml:space="preserve">i.e. </w:t>
      </w:r>
      <w:r w:rsidR="00FA7F45">
        <w:t>MeNB</w:t>
      </w:r>
      <w:r w:rsidR="004A67E4">
        <w:t xml:space="preserve"> and SgNB</w:t>
      </w:r>
      <w:r w:rsidR="00FA7F45">
        <w:t>)</w:t>
      </w:r>
      <w:r>
        <w:t xml:space="preserve"> </w:t>
      </w:r>
      <w:r w:rsidR="00541BD2">
        <w:t xml:space="preserve">are </w:t>
      </w:r>
      <w:r>
        <w:t>described below</w:t>
      </w:r>
      <w:r w:rsidR="005C1E5C">
        <w:t xml:space="preserve"> (in [4] we propose the measurement framework for the LTE/NR DC)</w:t>
      </w:r>
      <w:r w:rsidR="009A56BE">
        <w:t>:</w:t>
      </w:r>
      <w:r>
        <w:t xml:space="preserve"> </w:t>
      </w:r>
    </w:p>
    <w:p w14:paraId="062A8AD5" w14:textId="627462EF" w:rsidR="00921964" w:rsidRDefault="00921964" w:rsidP="00921964">
      <w:r>
        <w:t xml:space="preserve">The </w:t>
      </w:r>
      <w:r w:rsidR="00CE0A69" w:rsidRPr="002E479D">
        <w:rPr>
          <w:b/>
        </w:rPr>
        <w:t>MN</w:t>
      </w:r>
      <w:r w:rsidR="00CE0A69">
        <w:t xml:space="preserve"> (</w:t>
      </w:r>
      <w:r w:rsidRPr="002E479D">
        <w:t>MeNB</w:t>
      </w:r>
      <w:r w:rsidR="00CE0A69">
        <w:rPr>
          <w:b/>
        </w:rPr>
        <w:t>)</w:t>
      </w:r>
      <w:r>
        <w:t xml:space="preserve"> </w:t>
      </w:r>
      <w:r w:rsidR="006E53FB">
        <w:t xml:space="preserve">uses LTE RRC for </w:t>
      </w:r>
      <w:r>
        <w:t>configur</w:t>
      </w:r>
      <w:r w:rsidR="006E53FB">
        <w:t>ing</w:t>
      </w:r>
      <w:r w:rsidR="00541BD2">
        <w:t xml:space="preserve"> </w:t>
      </w:r>
      <w:r>
        <w:t>measurements and triggering</w:t>
      </w:r>
      <w:r w:rsidR="00541BD2">
        <w:t xml:space="preserve"> for the following events.</w:t>
      </w:r>
    </w:p>
    <w:p w14:paraId="062A8AD6" w14:textId="66B2EEE6" w:rsidR="00921964" w:rsidRDefault="00921964" w:rsidP="00921964">
      <w:r>
        <w:t xml:space="preserve">- </w:t>
      </w:r>
      <w:r w:rsidR="00CE0A69" w:rsidRPr="002E479D">
        <w:rPr>
          <w:b/>
        </w:rPr>
        <w:t>SN</w:t>
      </w:r>
      <w:r w:rsidR="00CE0A69">
        <w:t xml:space="preserve"> (</w:t>
      </w:r>
      <w:r>
        <w:t>SgNB</w:t>
      </w:r>
      <w:r w:rsidR="00CE0A69">
        <w:t>)</w:t>
      </w:r>
      <w:r>
        <w:t xml:space="preserve"> addition (and deletion): t</w:t>
      </w:r>
      <w:r w:rsidR="00391C3D">
        <w:t xml:space="preserve">his would </w:t>
      </w:r>
      <w:r w:rsidR="00541BD2">
        <w:t xml:space="preserve">require </w:t>
      </w:r>
      <w:r w:rsidR="00391C3D">
        <w:t xml:space="preserve">an IRAT </w:t>
      </w:r>
      <w:r w:rsidR="00541BD2">
        <w:t xml:space="preserve">measurement </w:t>
      </w:r>
      <w:r w:rsidR="003F66A7">
        <w:t>(</w:t>
      </w:r>
      <w:r w:rsidR="00541BD2">
        <w:t>Event B1, B2</w:t>
      </w:r>
      <w:r w:rsidR="003F66A7">
        <w:t>)</w:t>
      </w:r>
      <w:r w:rsidR="00541BD2">
        <w:t xml:space="preserve">. </w:t>
      </w:r>
      <w:r>
        <w:t xml:space="preserve"> </w:t>
      </w:r>
      <w:r w:rsidR="00541BD2">
        <w:t xml:space="preserve">However, </w:t>
      </w:r>
      <w:r>
        <w:t xml:space="preserve">deletion may require a new type of IRAT </w:t>
      </w:r>
      <w:r w:rsidR="009A56BE">
        <w:t>measurement</w:t>
      </w:r>
      <w:r w:rsidR="00541BD2">
        <w:t>.</w:t>
      </w:r>
    </w:p>
    <w:p w14:paraId="062A8AD7" w14:textId="1D888002" w:rsidR="00921964" w:rsidRDefault="00921964" w:rsidP="00921964">
      <w:r>
        <w:t>- Inter-RAT handover (</w:t>
      </w:r>
      <w:r w:rsidR="006E53FB">
        <w:t>MN to SN</w:t>
      </w:r>
      <w:r>
        <w:t xml:space="preserve">): this would </w:t>
      </w:r>
      <w:r w:rsidR="00541BD2">
        <w:t>require</w:t>
      </w:r>
      <w:r>
        <w:t xml:space="preserve"> an IRAT measurement.</w:t>
      </w:r>
    </w:p>
    <w:p w14:paraId="062A8AD8" w14:textId="38102AC2" w:rsidR="00921964" w:rsidRDefault="00921964" w:rsidP="00921964">
      <w:r>
        <w:t xml:space="preserve">The </w:t>
      </w:r>
      <w:r w:rsidR="006E53FB">
        <w:t>SN (</w:t>
      </w:r>
      <w:r w:rsidRPr="002E479D">
        <w:t>SgNB</w:t>
      </w:r>
      <w:r w:rsidR="006E53FB">
        <w:t xml:space="preserve">) uses direct SN RRC SRB signalling for </w:t>
      </w:r>
      <w:r>
        <w:t>configur</w:t>
      </w:r>
      <w:r w:rsidR="006E53FB">
        <w:t>ing</w:t>
      </w:r>
      <w:r>
        <w:t xml:space="preserve"> measurements and triggering </w:t>
      </w:r>
      <w:r w:rsidR="00541BD2">
        <w:t>for the following events</w:t>
      </w:r>
      <w:r w:rsidR="006E53FB">
        <w:t>:</w:t>
      </w:r>
    </w:p>
    <w:p w14:paraId="062A8AD9" w14:textId="53289576" w:rsidR="00921964" w:rsidRDefault="00921964" w:rsidP="00921964">
      <w:r>
        <w:t xml:space="preserve">- Intra-SgNB mobility: these would </w:t>
      </w:r>
      <w:r w:rsidR="00541BD2">
        <w:t xml:space="preserve">require </w:t>
      </w:r>
      <w:r>
        <w:t xml:space="preserve">intra-NR measurements of </w:t>
      </w:r>
      <w:r w:rsidR="00541BD2">
        <w:t xml:space="preserve">event </w:t>
      </w:r>
      <w:r w:rsidR="00F76579">
        <w:t>type</w:t>
      </w:r>
      <w:r w:rsidR="004660BC">
        <w:t>s</w:t>
      </w:r>
      <w:r w:rsidR="00F76579">
        <w:t xml:space="preserve"> A</w:t>
      </w:r>
      <w:r w:rsidR="004660BC">
        <w:t xml:space="preserve"> [TS</w:t>
      </w:r>
      <w:r w:rsidR="006E53FB">
        <w:t xml:space="preserve"> </w:t>
      </w:r>
      <w:r w:rsidR="004660BC">
        <w:t>36.331]</w:t>
      </w:r>
      <w:r>
        <w:t xml:space="preserve">. </w:t>
      </w:r>
      <w:r w:rsidR="0064062E">
        <w:t xml:space="preserve">We </w:t>
      </w:r>
      <w:r w:rsidR="00FA7F45">
        <w:t>assume</w:t>
      </w:r>
      <w:r w:rsidR="0064062E">
        <w:t xml:space="preserve"> this is performed</w:t>
      </w:r>
      <w:r>
        <w:t xml:space="preserve"> without coordination with </w:t>
      </w:r>
      <w:r w:rsidR="00541BD2">
        <w:t xml:space="preserve">the </w:t>
      </w:r>
      <w:r w:rsidR="006E53FB">
        <w:t xml:space="preserve">MN </w:t>
      </w:r>
      <w:r w:rsidR="0064062E">
        <w:t>(</w:t>
      </w:r>
      <w:r w:rsidR="00541BD2">
        <w:t>see F</w:t>
      </w:r>
      <w:r w:rsidR="0064062E">
        <w:t>igure 2-1).</w:t>
      </w:r>
    </w:p>
    <w:p w14:paraId="062A8ADA" w14:textId="02B171E5" w:rsidR="00EC2059" w:rsidRDefault="0064062E" w:rsidP="00EC2059">
      <w:r>
        <w:t>- SCG change:</w:t>
      </w:r>
      <w:r w:rsidR="00EC2059">
        <w:t xml:space="preserve"> SCG change means changing the carrier group served by the secondary node. This can happen in a single </w:t>
      </w:r>
      <w:r w:rsidR="006E53FB">
        <w:t>SN (</w:t>
      </w:r>
      <w:r w:rsidR="00EC2059">
        <w:t>SgNB</w:t>
      </w:r>
      <w:r w:rsidR="006E53FB">
        <w:t>)</w:t>
      </w:r>
      <w:r w:rsidR="00541BD2">
        <w:t xml:space="preserve">. In the CU (cloud) implementation </w:t>
      </w:r>
      <w:r w:rsidR="00EF5C50">
        <w:t>this may happen</w:t>
      </w:r>
      <w:r w:rsidR="00541BD2">
        <w:t xml:space="preserve"> </w:t>
      </w:r>
      <w:r w:rsidR="00EC2059">
        <w:t xml:space="preserve">in a single DU </w:t>
      </w:r>
      <w:r w:rsidR="00541BD2">
        <w:t>or between two DUs of the same CU.</w:t>
      </w:r>
      <w:r w:rsidR="00EC2059">
        <w:t xml:space="preserve"> </w:t>
      </w:r>
      <w:r w:rsidR="0096454E">
        <w:t>In this case, t</w:t>
      </w:r>
      <w:r w:rsidR="00EC2059">
        <w:t xml:space="preserve">here is a </w:t>
      </w:r>
      <w:r w:rsidR="006E53FB">
        <w:t>SN (</w:t>
      </w:r>
      <w:r w:rsidR="00EC2059">
        <w:t>gNB</w:t>
      </w:r>
      <w:r w:rsidR="006E53FB">
        <w:t>)</w:t>
      </w:r>
      <w:r w:rsidR="00EC2059">
        <w:t xml:space="preserve"> with PDCP (and </w:t>
      </w:r>
      <w:r w:rsidR="00EF5C50">
        <w:t xml:space="preserve">possibly a part of the </w:t>
      </w:r>
      <w:r w:rsidR="00EC2059">
        <w:t xml:space="preserve">RLC) in the CU and multiple DUs connected to that CU. </w:t>
      </w:r>
    </w:p>
    <w:p w14:paraId="062A8ADB" w14:textId="744DA218" w:rsidR="00F2548F" w:rsidRDefault="00F2548F" w:rsidP="00EC2059">
      <w:pPr>
        <w:rPr>
          <w:b/>
        </w:rPr>
      </w:pPr>
      <w:r>
        <w:rPr>
          <w:b/>
        </w:rPr>
        <w:t xml:space="preserve">Observation 1: In both cloudified and non-cloudified deployments, the serving </w:t>
      </w:r>
      <w:r w:rsidR="006E53FB">
        <w:rPr>
          <w:b/>
        </w:rPr>
        <w:t>SN (</w:t>
      </w:r>
      <w:r>
        <w:rPr>
          <w:b/>
        </w:rPr>
        <w:t>SgNB</w:t>
      </w:r>
      <w:r w:rsidR="006E53FB">
        <w:rPr>
          <w:b/>
        </w:rPr>
        <w:t>)</w:t>
      </w:r>
      <w:r>
        <w:rPr>
          <w:b/>
        </w:rPr>
        <w:t xml:space="preserve"> does not change upon SCG change.</w:t>
      </w:r>
    </w:p>
    <w:p w14:paraId="062A8ADC" w14:textId="61B5FD11" w:rsidR="00993EF1" w:rsidRDefault="00993EF1" w:rsidP="00EC2059">
      <w:pPr>
        <w:rPr>
          <w:b/>
        </w:rPr>
      </w:pPr>
      <w:r>
        <w:rPr>
          <w:b/>
        </w:rPr>
        <w:t xml:space="preserve">Observation 2: </w:t>
      </w:r>
      <w:r w:rsidRPr="00F2548F">
        <w:rPr>
          <w:b/>
        </w:rPr>
        <w:t xml:space="preserve">The </w:t>
      </w:r>
      <w:r>
        <w:rPr>
          <w:b/>
        </w:rPr>
        <w:t xml:space="preserve">serving </w:t>
      </w:r>
      <w:r w:rsidR="006E53FB">
        <w:rPr>
          <w:b/>
        </w:rPr>
        <w:t>SN (</w:t>
      </w:r>
      <w:r w:rsidRPr="00F2548F">
        <w:rPr>
          <w:b/>
        </w:rPr>
        <w:t>SgNB</w:t>
      </w:r>
      <w:r w:rsidR="006E53FB">
        <w:rPr>
          <w:b/>
        </w:rPr>
        <w:t>)</w:t>
      </w:r>
      <w:r w:rsidRPr="00F2548F">
        <w:rPr>
          <w:b/>
        </w:rPr>
        <w:t xml:space="preserve"> configuring the measurements and </w:t>
      </w:r>
      <w:r w:rsidR="004A67E4">
        <w:rPr>
          <w:b/>
        </w:rPr>
        <w:t>receiving</w:t>
      </w:r>
      <w:r w:rsidRPr="00F2548F">
        <w:rPr>
          <w:b/>
        </w:rPr>
        <w:t xml:space="preserve"> the measurement reports would know when to initiate a DU c</w:t>
      </w:r>
      <w:r w:rsidR="004A67E4">
        <w:rPr>
          <w:b/>
        </w:rPr>
        <w:t>hange in the form of SCG change</w:t>
      </w:r>
      <w:r w:rsidRPr="00F2548F">
        <w:rPr>
          <w:b/>
        </w:rPr>
        <w:t xml:space="preserve"> and when to trigger the </w:t>
      </w:r>
      <w:r w:rsidR="006E53FB">
        <w:rPr>
          <w:b/>
        </w:rPr>
        <w:t>SN (</w:t>
      </w:r>
      <w:r w:rsidRPr="00F2548F">
        <w:rPr>
          <w:b/>
        </w:rPr>
        <w:t>SgNB</w:t>
      </w:r>
      <w:r w:rsidR="006E53FB">
        <w:rPr>
          <w:b/>
        </w:rPr>
        <w:t>)</w:t>
      </w:r>
      <w:r w:rsidRPr="00F2548F">
        <w:rPr>
          <w:b/>
        </w:rPr>
        <w:t xml:space="preserve"> change for the </w:t>
      </w:r>
      <w:r w:rsidR="006E53FB">
        <w:rPr>
          <w:b/>
        </w:rPr>
        <w:t>MN (</w:t>
      </w:r>
      <w:r w:rsidRPr="00F2548F">
        <w:rPr>
          <w:b/>
        </w:rPr>
        <w:t>MeNB</w:t>
      </w:r>
      <w:r w:rsidR="006E53FB">
        <w:rPr>
          <w:b/>
        </w:rPr>
        <w:t>)</w:t>
      </w:r>
      <w:r w:rsidRPr="00F2548F">
        <w:rPr>
          <w:b/>
        </w:rPr>
        <w:t xml:space="preserve"> to initiate</w:t>
      </w:r>
      <w:r w:rsidR="00EF5C50">
        <w:rPr>
          <w:b/>
        </w:rPr>
        <w:t xml:space="preserve"> it</w:t>
      </w:r>
      <w:r w:rsidRPr="00F2548F">
        <w:rPr>
          <w:b/>
        </w:rPr>
        <w:t>.</w:t>
      </w:r>
    </w:p>
    <w:p w14:paraId="062A8ADD" w14:textId="6304999F" w:rsidR="00F2548F" w:rsidRPr="00F2548F" w:rsidRDefault="00F2548F" w:rsidP="00EC2059">
      <w:pPr>
        <w:rPr>
          <w:b/>
        </w:rPr>
      </w:pPr>
      <w:r>
        <w:t>During the DU change</w:t>
      </w:r>
      <w:r w:rsidR="00EF5C50">
        <w:t>,</w:t>
      </w:r>
      <w:r>
        <w:t xml:space="preserve"> because the </w:t>
      </w:r>
      <w:r w:rsidRPr="0064062E">
        <w:t>existin</w:t>
      </w:r>
      <w:r>
        <w:t>g PDCP (</w:t>
      </w:r>
      <w:r w:rsidR="00EF5C50">
        <w:t xml:space="preserve">and possibly </w:t>
      </w:r>
      <w:r>
        <w:t xml:space="preserve">RLC) is re-established </w:t>
      </w:r>
      <w:r w:rsidRPr="0064062E">
        <w:t>but not released</w:t>
      </w:r>
      <w:r>
        <w:t>, the S1-U end-</w:t>
      </w:r>
      <w:r w:rsidRPr="0064062E">
        <w:t>point towards the EPC is not changed</w:t>
      </w:r>
      <w:r>
        <w:t>. Hence, the p</w:t>
      </w:r>
      <w:r w:rsidRPr="0064062E">
        <w:t>ath</w:t>
      </w:r>
      <w:r w:rsidR="00EF5C50">
        <w:t xml:space="preserve">-switch </w:t>
      </w:r>
      <w:r w:rsidRPr="0064062E">
        <w:t>pro</w:t>
      </w:r>
      <w:r>
        <w:t>cedure (E-RAB modification</w:t>
      </w:r>
      <w:r w:rsidR="00EF5C50">
        <w:t xml:space="preserve"> indication</w:t>
      </w:r>
      <w:r>
        <w:t xml:space="preserve">) will not be needed. From the EPC point of view, the same </w:t>
      </w:r>
      <w:r w:rsidR="006E53FB">
        <w:t>SN (</w:t>
      </w:r>
      <w:r>
        <w:t>SgNB</w:t>
      </w:r>
      <w:r w:rsidR="006E53FB">
        <w:t>)</w:t>
      </w:r>
      <w:r>
        <w:t xml:space="preserve"> </w:t>
      </w:r>
      <w:r w:rsidR="00EF5C50">
        <w:t xml:space="preserve">continues </w:t>
      </w:r>
      <w:r>
        <w:t>serving the UE.</w:t>
      </w:r>
    </w:p>
    <w:p w14:paraId="062A8ADE" w14:textId="08B99B05" w:rsidR="0064062E" w:rsidRDefault="0086469E" w:rsidP="00921964">
      <w:pPr>
        <w:rPr>
          <w:b/>
        </w:rPr>
      </w:pPr>
      <w:r>
        <w:rPr>
          <w:b/>
        </w:rPr>
        <w:t>Proposal</w:t>
      </w:r>
      <w:r w:rsidRPr="0086469E">
        <w:rPr>
          <w:b/>
        </w:rPr>
        <w:t xml:space="preserve"> 1:</w:t>
      </w:r>
      <w:r>
        <w:rPr>
          <w:b/>
        </w:rPr>
        <w:t xml:space="preserve"> The </w:t>
      </w:r>
      <w:r w:rsidR="006E53FB">
        <w:rPr>
          <w:b/>
        </w:rPr>
        <w:t>SN (</w:t>
      </w:r>
      <w:r>
        <w:rPr>
          <w:b/>
        </w:rPr>
        <w:t>SgNB</w:t>
      </w:r>
      <w:r w:rsidR="006E53FB">
        <w:rPr>
          <w:b/>
        </w:rPr>
        <w:t>)</w:t>
      </w:r>
      <w:r>
        <w:rPr>
          <w:b/>
        </w:rPr>
        <w:t xml:space="preserve"> does not need to involve the </w:t>
      </w:r>
      <w:r w:rsidR="006E53FB">
        <w:rPr>
          <w:b/>
        </w:rPr>
        <w:t>MN (</w:t>
      </w:r>
      <w:r>
        <w:rPr>
          <w:b/>
        </w:rPr>
        <w:t>MeNB</w:t>
      </w:r>
      <w:r w:rsidR="006E53FB">
        <w:rPr>
          <w:b/>
        </w:rPr>
        <w:t>)</w:t>
      </w:r>
      <w:r>
        <w:rPr>
          <w:b/>
        </w:rPr>
        <w:t xml:space="preserve"> during SCG change procedure.</w:t>
      </w:r>
    </w:p>
    <w:p w14:paraId="062A8ADF" w14:textId="77777777" w:rsidR="00CD4C7B" w:rsidRDefault="00CD4C7B" w:rsidP="00CD4C7B">
      <w:pPr>
        <w:pStyle w:val="Heading1"/>
      </w:pPr>
      <w:r w:rsidRPr="006E13D1">
        <w:t>3</w:t>
      </w:r>
      <w:r w:rsidRPr="006E13D1">
        <w:tab/>
      </w:r>
      <w:r w:rsidR="00CE06F6">
        <w:t>Discussion for FFS aspects linked to SN change</w:t>
      </w:r>
      <w:r w:rsidR="009E564D">
        <w:t xml:space="preserve">  </w:t>
      </w:r>
    </w:p>
    <w:p w14:paraId="062A8AE0" w14:textId="77777777" w:rsidR="00993EF1" w:rsidRPr="00993EF1" w:rsidRDefault="00993EF1" w:rsidP="00993EF1">
      <w:r>
        <w:t>We now discuss the FFS aspects linked to</w:t>
      </w:r>
      <w:r w:rsidR="00CE06F6">
        <w:t xml:space="preserve"> SN change:</w:t>
      </w:r>
    </w:p>
    <w:p w14:paraId="062A8AE1" w14:textId="77777777" w:rsidR="00993EF1" w:rsidRDefault="00993EF1" w:rsidP="00993EF1">
      <w:pPr>
        <w:pStyle w:val="Doc-text2"/>
        <w:pBdr>
          <w:top w:val="single" w:sz="4" w:space="1" w:color="auto"/>
          <w:left w:val="single" w:sz="4" w:space="4" w:color="auto"/>
          <w:bottom w:val="single" w:sz="4" w:space="1" w:color="auto"/>
          <w:right w:val="single" w:sz="4" w:space="4" w:color="auto"/>
        </w:pBdr>
      </w:pPr>
      <w:r>
        <w:t>FFS what additional information can be provided from the SN to the MN when the SN change is initiated.</w:t>
      </w:r>
    </w:p>
    <w:p w14:paraId="062A8AE2" w14:textId="77777777" w:rsidR="00993EF1" w:rsidRDefault="00993EF1" w:rsidP="00993EF1">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14:paraId="7881A76C" w14:textId="77777777" w:rsidR="005C1E5C" w:rsidRDefault="005C1E5C" w:rsidP="00993EF1"/>
    <w:p w14:paraId="062A8AE4" w14:textId="74ABA90F" w:rsidR="00993EF1" w:rsidRDefault="00C75F7A" w:rsidP="00993EF1">
      <w:r>
        <w:t xml:space="preserve">There are a few reasons which need the serving </w:t>
      </w:r>
      <w:r w:rsidR="006E53FB">
        <w:t>SN (</w:t>
      </w:r>
      <w:r>
        <w:t>SgNB</w:t>
      </w:r>
      <w:r w:rsidR="006E53FB">
        <w:t>)</w:t>
      </w:r>
      <w:r>
        <w:t xml:space="preserve"> to involve the </w:t>
      </w:r>
      <w:r w:rsidR="006E53FB">
        <w:t>MN (</w:t>
      </w:r>
      <w:r>
        <w:t>MeNB</w:t>
      </w:r>
      <w:r w:rsidR="006E53FB">
        <w:t>)</w:t>
      </w:r>
      <w:r>
        <w:t xml:space="preserve"> during a SN change:</w:t>
      </w:r>
    </w:p>
    <w:p w14:paraId="062A8AE5" w14:textId="048A3B6A" w:rsidR="00993EF1" w:rsidRDefault="00993EF1" w:rsidP="00993EF1">
      <w:pPr>
        <w:pStyle w:val="ListParagraph"/>
        <w:numPr>
          <w:ilvl w:val="0"/>
          <w:numId w:val="6"/>
        </w:numPr>
      </w:pPr>
      <w:r>
        <w:t>It is understood</w:t>
      </w:r>
      <w:r w:rsidR="004A67E4">
        <w:t>,</w:t>
      </w:r>
      <w:r>
        <w:t xml:space="preserve"> in the Rel15 timeframe</w:t>
      </w:r>
      <w:r w:rsidR="004A67E4">
        <w:t>,</w:t>
      </w:r>
      <w:r>
        <w:t xml:space="preserve"> that the Xx </w:t>
      </w:r>
      <w:r w:rsidR="00C13C3C">
        <w:t xml:space="preserve">as an extension of X2-interface </w:t>
      </w:r>
      <w:r>
        <w:t xml:space="preserve">is only between LTE eNB and </w:t>
      </w:r>
      <w:r w:rsidR="006E53FB">
        <w:t xml:space="preserve">NR </w:t>
      </w:r>
      <w:r w:rsidR="004A67E4">
        <w:t>SgNB</w:t>
      </w:r>
      <w:r>
        <w:t xml:space="preserve">. Due to this reason the SgNB may not know the identity of the neighbour </w:t>
      </w:r>
      <w:r w:rsidR="006E53FB">
        <w:t>SgNBs</w:t>
      </w:r>
      <w:r w:rsidR="00C13C3C">
        <w:t xml:space="preserve"> or their Physical Cell Identities (PCI)</w:t>
      </w:r>
      <w:r>
        <w:t xml:space="preserve">. </w:t>
      </w:r>
    </w:p>
    <w:p w14:paraId="062A8AE6" w14:textId="551D90FA" w:rsidR="00993EF1" w:rsidRDefault="00993EF1" w:rsidP="00993EF1">
      <w:pPr>
        <w:pStyle w:val="ListParagraph"/>
        <w:numPr>
          <w:ilvl w:val="0"/>
          <w:numId w:val="6"/>
        </w:numPr>
      </w:pPr>
      <w:r>
        <w:t xml:space="preserve">When the UE moves into area of a </w:t>
      </w:r>
      <w:r w:rsidR="004A67E4">
        <w:t>NR</w:t>
      </w:r>
      <w:r>
        <w:t xml:space="preserve"> cell controlled by a neighbour </w:t>
      </w:r>
      <w:r w:rsidR="004A67E4">
        <w:t>SgNB</w:t>
      </w:r>
      <w:r>
        <w:t xml:space="preserve">, the serving </w:t>
      </w:r>
      <w:r w:rsidR="004A67E4">
        <w:t xml:space="preserve">SgNB </w:t>
      </w:r>
      <w:r>
        <w:t xml:space="preserve">will measure a PCI which doesn’t belong to any </w:t>
      </w:r>
      <w:r w:rsidR="00C13C3C">
        <w:t xml:space="preserve">of </w:t>
      </w:r>
      <w:r>
        <w:t xml:space="preserve">its own cells, </w:t>
      </w:r>
      <w:r w:rsidR="00C13C3C">
        <w:t xml:space="preserve">and </w:t>
      </w:r>
      <w:r>
        <w:t xml:space="preserve">it can trigger a </w:t>
      </w:r>
      <w:r w:rsidR="004A67E4">
        <w:t xml:space="preserve">SgNB </w:t>
      </w:r>
      <w:r>
        <w:t xml:space="preserve">change. </w:t>
      </w:r>
    </w:p>
    <w:p w14:paraId="062A8AE7" w14:textId="5727F50B" w:rsidR="00993EF1" w:rsidRDefault="00993EF1" w:rsidP="00993EF1">
      <w:pPr>
        <w:pStyle w:val="ListParagraph"/>
        <w:numPr>
          <w:ilvl w:val="0"/>
          <w:numId w:val="6"/>
        </w:numPr>
      </w:pPr>
      <w:r>
        <w:t xml:space="preserve">The SgNB may or may not be able to resolve the </w:t>
      </w:r>
      <w:r w:rsidR="004A67E4">
        <w:t xml:space="preserve">SgNB </w:t>
      </w:r>
      <w:r>
        <w:t>cell identity of the neighbour cell</w:t>
      </w:r>
      <w:r w:rsidR="00C13C3C">
        <w:t>,</w:t>
      </w:r>
      <w:r>
        <w:t xml:space="preserve"> and it can let the LTE eNB to </w:t>
      </w:r>
      <w:r w:rsidR="00C13C3C">
        <w:t xml:space="preserve">initiate the change procedure </w:t>
      </w:r>
      <w:r>
        <w:t xml:space="preserve">towards that neighbour </w:t>
      </w:r>
      <w:r w:rsidR="004A67E4">
        <w:t xml:space="preserve">SgNB </w:t>
      </w:r>
      <w:r>
        <w:t>select</w:t>
      </w:r>
      <w:r w:rsidR="00C13C3C">
        <w:t>ed</w:t>
      </w:r>
      <w:r>
        <w:t xml:space="preserve"> for the </w:t>
      </w:r>
      <w:r w:rsidR="004A67E4">
        <w:t xml:space="preserve">SgNB </w:t>
      </w:r>
      <w:r>
        <w:t xml:space="preserve">change. The MeNB would know the </w:t>
      </w:r>
      <w:r w:rsidR="00C13C3C">
        <w:t xml:space="preserve">PCI </w:t>
      </w:r>
      <w:r>
        <w:t xml:space="preserve">to logical cell identity mapping if it has an Xx </w:t>
      </w:r>
      <w:r w:rsidR="0096454E">
        <w:t>interface</w:t>
      </w:r>
      <w:bookmarkStart w:id="1" w:name="_GoBack"/>
      <w:bookmarkEnd w:id="1"/>
      <w:r>
        <w:t xml:space="preserve"> to the gNB </w:t>
      </w:r>
      <w:r w:rsidR="00C13C3C">
        <w:t xml:space="preserve">configuring </w:t>
      </w:r>
      <w:r>
        <w:t xml:space="preserve"> that cell.</w:t>
      </w:r>
    </w:p>
    <w:p w14:paraId="062A8AE8" w14:textId="35650C38" w:rsidR="00E1534A" w:rsidRDefault="00E1534A" w:rsidP="00E1534A">
      <w:pPr>
        <w:pStyle w:val="ListParagraph"/>
        <w:numPr>
          <w:ilvl w:val="0"/>
          <w:numId w:val="6"/>
        </w:numPr>
      </w:pPr>
      <w:r w:rsidRPr="00E1534A">
        <w:t xml:space="preserve">For LTE and NR </w:t>
      </w:r>
      <w:r w:rsidR="00C13C3C">
        <w:t xml:space="preserve">dual connectivity, </w:t>
      </w:r>
      <w:r w:rsidR="00C75F7A">
        <w:t>S-Kg</w:t>
      </w:r>
      <w:r w:rsidRPr="00E1534A">
        <w:t xml:space="preserve">NB is derived from </w:t>
      </w:r>
      <w:r w:rsidR="00C13C3C">
        <w:t xml:space="preserve">the </w:t>
      </w:r>
      <w:r w:rsidRPr="00E1534A">
        <w:t xml:space="preserve">KeNB of the master </w:t>
      </w:r>
      <w:r w:rsidR="00C13C3C">
        <w:t xml:space="preserve">(LTE) </w:t>
      </w:r>
      <w:r w:rsidRPr="00E1534A">
        <w:t>node.</w:t>
      </w:r>
    </w:p>
    <w:p w14:paraId="062A8AE9" w14:textId="6807C353" w:rsidR="00C75F7A" w:rsidRDefault="00C75F7A" w:rsidP="00993EF1">
      <w:pPr>
        <w:rPr>
          <w:b/>
        </w:rPr>
      </w:pPr>
      <w:r>
        <w:rPr>
          <w:b/>
        </w:rPr>
        <w:t xml:space="preserve">Observation 3: At least the information about the target cells (and possibly cell measurements) need to be passed </w:t>
      </w:r>
      <w:r w:rsidR="00C13C3C">
        <w:rPr>
          <w:b/>
        </w:rPr>
        <w:t xml:space="preserve">from the </w:t>
      </w:r>
      <w:r w:rsidR="006E53FB">
        <w:rPr>
          <w:b/>
        </w:rPr>
        <w:t>SN (SgNB)</w:t>
      </w:r>
      <w:r>
        <w:rPr>
          <w:b/>
        </w:rPr>
        <w:t xml:space="preserve"> to the MN.</w:t>
      </w:r>
    </w:p>
    <w:p w14:paraId="062A8AEA" w14:textId="1E273555" w:rsidR="008E5C90" w:rsidRDefault="00F76579" w:rsidP="00993EF1">
      <w:pPr>
        <w:rPr>
          <w:b/>
        </w:rPr>
      </w:pPr>
      <w:r>
        <w:rPr>
          <w:b/>
        </w:rPr>
        <w:t xml:space="preserve">Proposal 2: SN may provide at least basic information about the target cells </w:t>
      </w:r>
      <w:r w:rsidRPr="00F76579">
        <w:rPr>
          <w:b/>
        </w:rPr>
        <w:t>and possibly other information from measurement</w:t>
      </w:r>
      <w:r w:rsidR="00C13C3C">
        <w:rPr>
          <w:b/>
        </w:rPr>
        <w:t>s</w:t>
      </w:r>
      <w:r w:rsidRPr="00F76579">
        <w:rPr>
          <w:b/>
        </w:rPr>
        <w:t xml:space="preserve"> needed by </w:t>
      </w:r>
      <w:r w:rsidR="00C13C3C">
        <w:rPr>
          <w:b/>
        </w:rPr>
        <w:t xml:space="preserve">the </w:t>
      </w:r>
      <w:r w:rsidR="006E53FB">
        <w:rPr>
          <w:b/>
        </w:rPr>
        <w:t>MN (MeNB)</w:t>
      </w:r>
      <w:r w:rsidRPr="00F76579">
        <w:rPr>
          <w:b/>
        </w:rPr>
        <w:t xml:space="preserve"> to manage </w:t>
      </w:r>
      <w:r w:rsidR="004660BC">
        <w:rPr>
          <w:b/>
        </w:rPr>
        <w:t xml:space="preserve">the </w:t>
      </w:r>
      <w:r w:rsidR="006E53FB">
        <w:rPr>
          <w:b/>
        </w:rPr>
        <w:t>SN (</w:t>
      </w:r>
      <w:r w:rsidR="004660BC">
        <w:rPr>
          <w:b/>
        </w:rPr>
        <w:t>SgNB</w:t>
      </w:r>
      <w:r w:rsidR="006E53FB">
        <w:rPr>
          <w:b/>
        </w:rPr>
        <w:t>)</w:t>
      </w:r>
      <w:r w:rsidR="004660BC">
        <w:rPr>
          <w:b/>
        </w:rPr>
        <w:t xml:space="preserve"> change, which the </w:t>
      </w:r>
      <w:r w:rsidR="006E53FB">
        <w:rPr>
          <w:b/>
        </w:rPr>
        <w:t>SN (</w:t>
      </w:r>
      <w:r w:rsidRPr="00F76579">
        <w:rPr>
          <w:b/>
        </w:rPr>
        <w:t>SgNB</w:t>
      </w:r>
      <w:r w:rsidR="006E53FB">
        <w:rPr>
          <w:b/>
        </w:rPr>
        <w:t>)</w:t>
      </w:r>
      <w:r w:rsidRPr="00F76579">
        <w:rPr>
          <w:b/>
        </w:rPr>
        <w:t xml:space="preserve"> triggered</w:t>
      </w:r>
      <w:r>
        <w:rPr>
          <w:b/>
        </w:rPr>
        <w:t>.</w:t>
      </w:r>
    </w:p>
    <w:p w14:paraId="0D29F8AF" w14:textId="729DBABA" w:rsidR="00437981" w:rsidRDefault="008E5C90" w:rsidP="00993EF1">
      <w:r>
        <w:lastRenderedPageBreak/>
        <w:t xml:space="preserve">It is our understanding that the </w:t>
      </w:r>
      <w:r w:rsidR="00AB7D38" w:rsidRPr="00AB7D38">
        <w:t xml:space="preserve">trigger to initiate a </w:t>
      </w:r>
      <w:r w:rsidR="00FA7F45">
        <w:t>SgNB</w:t>
      </w:r>
      <w:r w:rsidR="00FA7F45" w:rsidRPr="00AB7D38">
        <w:t xml:space="preserve"> </w:t>
      </w:r>
      <w:r w:rsidR="00AB7D38" w:rsidRPr="00AB7D38">
        <w:t xml:space="preserve">release could come from </w:t>
      </w:r>
      <w:r w:rsidR="00FA7F45">
        <w:t>SgNB</w:t>
      </w:r>
      <w:r w:rsidR="00FA7F45" w:rsidRPr="00AB7D38">
        <w:t xml:space="preserve"> </w:t>
      </w:r>
      <w:r w:rsidR="00F76579">
        <w:t xml:space="preserve">only and there is not enough justification for </w:t>
      </w:r>
      <w:r w:rsidR="00AB7D38" w:rsidRPr="00AB7D38">
        <w:t xml:space="preserve">it </w:t>
      </w:r>
      <w:r w:rsidR="00F76579">
        <w:t xml:space="preserve">to </w:t>
      </w:r>
      <w:r w:rsidR="00AB7D38" w:rsidRPr="00AB7D38">
        <w:t>be initiated by the MeNB.</w:t>
      </w:r>
      <w:r>
        <w:t xml:space="preserve"> </w:t>
      </w:r>
      <w:r w:rsidR="00437981">
        <w:t xml:space="preserve">It is further assumed that the MN (MeNB) does not change but only the SN (SgNB) changes. </w:t>
      </w:r>
      <w:r w:rsidR="00885869">
        <w:t>However, d</w:t>
      </w:r>
      <w:r w:rsidR="00437981">
        <w:t>uring the MeNB HO procedure</w:t>
      </w:r>
      <w:r w:rsidR="00885869">
        <w:t xml:space="preserve"> (LTE HO)</w:t>
      </w:r>
      <w:r w:rsidR="00437981">
        <w:t xml:space="preserve"> it is assumed that the SgNB is removed and added once the LTE HO is completed. </w:t>
      </w:r>
      <w:r w:rsidR="00885869">
        <w:t xml:space="preserve">Thus, the source </w:t>
      </w:r>
      <w:r w:rsidR="00437981">
        <w:t xml:space="preserve">MN </w:t>
      </w:r>
      <w:r w:rsidR="00885869">
        <w:t xml:space="preserve">will </w:t>
      </w:r>
      <w:r w:rsidR="00437981">
        <w:t xml:space="preserve">perform a deletion and </w:t>
      </w:r>
      <w:r w:rsidR="00885869">
        <w:t xml:space="preserve">the target MN will perform an </w:t>
      </w:r>
      <w:r w:rsidR="00437981">
        <w:t>addition of the SgNB.</w:t>
      </w:r>
      <w:r w:rsidR="005B5AD9">
        <w:t xml:space="preserve"> </w:t>
      </w:r>
      <w:r w:rsidR="00185D8C">
        <w:t xml:space="preserve">The </w:t>
      </w:r>
      <w:r w:rsidR="005B5AD9">
        <w:t>SgNB configuration is retained</w:t>
      </w:r>
      <w:r w:rsidR="00185D8C">
        <w:t xml:space="preserve"> from the UE point of view.</w:t>
      </w:r>
    </w:p>
    <w:p w14:paraId="062A8AEC" w14:textId="6F8F5A72" w:rsidR="008E5C90" w:rsidRDefault="008E5C90" w:rsidP="00993EF1">
      <w:pPr>
        <w:rPr>
          <w:b/>
        </w:rPr>
      </w:pPr>
      <w:r>
        <w:rPr>
          <w:b/>
        </w:rPr>
        <w:t xml:space="preserve">Proposal 3: </w:t>
      </w:r>
      <w:r w:rsidR="00B841FA">
        <w:rPr>
          <w:b/>
        </w:rPr>
        <w:t>MN</w:t>
      </w:r>
      <w:r w:rsidRPr="008E5C90">
        <w:rPr>
          <w:b/>
        </w:rPr>
        <w:t xml:space="preserve"> can</w:t>
      </w:r>
      <w:r w:rsidR="00F76579">
        <w:rPr>
          <w:b/>
        </w:rPr>
        <w:t>not</w:t>
      </w:r>
      <w:r w:rsidRPr="008E5C90">
        <w:rPr>
          <w:b/>
        </w:rPr>
        <w:t xml:space="preserve"> initiate </w:t>
      </w:r>
      <w:r w:rsidR="005B4329">
        <w:rPr>
          <w:b/>
        </w:rPr>
        <w:t>SN</w:t>
      </w:r>
      <w:r w:rsidRPr="008E5C90">
        <w:rPr>
          <w:b/>
        </w:rPr>
        <w:t xml:space="preserve"> change procedure</w:t>
      </w:r>
      <w:r w:rsidR="00F76579">
        <w:rPr>
          <w:b/>
        </w:rPr>
        <w:t xml:space="preserve"> but only perform addition/deletion</w:t>
      </w:r>
      <w:r w:rsidR="00115CA9">
        <w:rPr>
          <w:b/>
        </w:rPr>
        <w:t>.</w:t>
      </w:r>
    </w:p>
    <w:p w14:paraId="7AB10C33" w14:textId="6E637448" w:rsidR="005C1E5C" w:rsidRDefault="005C1E5C" w:rsidP="00993EF1">
      <w:pPr>
        <w:rPr>
          <w:b/>
        </w:rPr>
      </w:pPr>
      <w:r>
        <w:rPr>
          <w:b/>
        </w:rPr>
        <w:t xml:space="preserve">Proposal 4: </w:t>
      </w:r>
      <w:r w:rsidR="007E50AA">
        <w:rPr>
          <w:b/>
        </w:rPr>
        <w:t xml:space="preserve">The SN </w:t>
      </w:r>
      <w:r w:rsidR="00376A82">
        <w:rPr>
          <w:b/>
        </w:rPr>
        <w:t>can be</w:t>
      </w:r>
      <w:r w:rsidR="007E50AA">
        <w:rPr>
          <w:b/>
        </w:rPr>
        <w:t xml:space="preserve"> maintained d</w:t>
      </w:r>
      <w:r w:rsidR="00885869">
        <w:rPr>
          <w:b/>
        </w:rPr>
        <w:t xml:space="preserve">uring </w:t>
      </w:r>
      <w:r w:rsidR="007E50AA">
        <w:rPr>
          <w:b/>
        </w:rPr>
        <w:t>the inter MN HO procedure.</w:t>
      </w:r>
    </w:p>
    <w:p w14:paraId="062A8AED" w14:textId="597C1FF2" w:rsidR="00CD4C7B" w:rsidRPr="006E13D1" w:rsidRDefault="00CD4C7B" w:rsidP="00CD4C7B">
      <w:pPr>
        <w:pStyle w:val="Heading1"/>
      </w:pPr>
      <w:r w:rsidRPr="006E13D1">
        <w:t>4</w:t>
      </w:r>
      <w:r w:rsidRPr="006E13D1">
        <w:tab/>
      </w:r>
      <w:r w:rsidR="001C3A00">
        <w:t>Conclusion</w:t>
      </w:r>
    </w:p>
    <w:p w14:paraId="062A8AEE" w14:textId="4F02507D" w:rsidR="00CD4C7B" w:rsidRDefault="008E5C90" w:rsidP="00CD4C7B">
      <w:r>
        <w:t xml:space="preserve">In this contribution, we have provided the motivation for resolving the FFS points listed in the beginning of this document linked to </w:t>
      </w:r>
      <w:r w:rsidRPr="008E5C90">
        <w:t>the secondary node change procedure for LTE/NR dual connectivity</w:t>
      </w:r>
      <w:r>
        <w:t>. Based on the analysis</w:t>
      </w:r>
      <w:r w:rsidR="009038AF">
        <w:t xml:space="preserve"> </w:t>
      </w:r>
      <w:r>
        <w:t>presented in the document, we list the observations and make the following proposals:</w:t>
      </w:r>
    </w:p>
    <w:p w14:paraId="00F18174" w14:textId="77777777" w:rsidR="009038AF" w:rsidRDefault="009038AF" w:rsidP="009038AF">
      <w:pPr>
        <w:rPr>
          <w:b/>
        </w:rPr>
      </w:pPr>
      <w:r>
        <w:rPr>
          <w:b/>
        </w:rPr>
        <w:t>Observation 1: In both cloudified and non-cloudified deployments, the serving SN (SgNB) does not change upon SCG change.</w:t>
      </w:r>
    </w:p>
    <w:p w14:paraId="062A8AF0" w14:textId="72E9CD45" w:rsidR="008E5C90" w:rsidRDefault="009038AF" w:rsidP="008E5C90">
      <w:pPr>
        <w:rPr>
          <w:b/>
        </w:rPr>
      </w:pPr>
      <w:r>
        <w:rPr>
          <w:b/>
        </w:rPr>
        <w:t xml:space="preserve">Observation 2: </w:t>
      </w:r>
      <w:r w:rsidRPr="00F2548F">
        <w:rPr>
          <w:b/>
        </w:rPr>
        <w:t xml:space="preserve">The </w:t>
      </w:r>
      <w:r>
        <w:rPr>
          <w:b/>
        </w:rPr>
        <w:t>serving SN (</w:t>
      </w:r>
      <w:r w:rsidRPr="00F2548F">
        <w:rPr>
          <w:b/>
        </w:rPr>
        <w:t>SgNB</w:t>
      </w:r>
      <w:r>
        <w:rPr>
          <w:b/>
        </w:rPr>
        <w:t>)</w:t>
      </w:r>
      <w:r w:rsidRPr="00F2548F">
        <w:rPr>
          <w:b/>
        </w:rPr>
        <w:t xml:space="preserve"> configuring the measurements and </w:t>
      </w:r>
      <w:r>
        <w:rPr>
          <w:b/>
        </w:rPr>
        <w:t>receiving</w:t>
      </w:r>
      <w:r w:rsidRPr="00F2548F">
        <w:rPr>
          <w:b/>
        </w:rPr>
        <w:t xml:space="preserve"> the measurement reports would know when to initiate a DU c</w:t>
      </w:r>
      <w:r>
        <w:rPr>
          <w:b/>
        </w:rPr>
        <w:t>hange in the form of SCG change</w:t>
      </w:r>
      <w:r w:rsidRPr="00F2548F">
        <w:rPr>
          <w:b/>
        </w:rPr>
        <w:t xml:space="preserve"> and when to trigger the </w:t>
      </w:r>
      <w:r>
        <w:rPr>
          <w:b/>
        </w:rPr>
        <w:t>SN (</w:t>
      </w:r>
      <w:r w:rsidRPr="00F2548F">
        <w:rPr>
          <w:b/>
        </w:rPr>
        <w:t>SgNB</w:t>
      </w:r>
      <w:r>
        <w:rPr>
          <w:b/>
        </w:rPr>
        <w:t>)</w:t>
      </w:r>
      <w:r w:rsidRPr="00F2548F">
        <w:rPr>
          <w:b/>
        </w:rPr>
        <w:t xml:space="preserve"> change for the </w:t>
      </w:r>
      <w:r>
        <w:rPr>
          <w:b/>
        </w:rPr>
        <w:t>MN (</w:t>
      </w:r>
      <w:r w:rsidRPr="00F2548F">
        <w:rPr>
          <w:b/>
        </w:rPr>
        <w:t>MeNB</w:t>
      </w:r>
      <w:r>
        <w:rPr>
          <w:b/>
        </w:rPr>
        <w:t>)</w:t>
      </w:r>
      <w:r w:rsidRPr="00F2548F">
        <w:rPr>
          <w:b/>
        </w:rPr>
        <w:t xml:space="preserve"> to initiate</w:t>
      </w:r>
      <w:r>
        <w:rPr>
          <w:b/>
        </w:rPr>
        <w:t xml:space="preserve"> it</w:t>
      </w:r>
      <w:r w:rsidRPr="00F2548F">
        <w:rPr>
          <w:b/>
        </w:rPr>
        <w:t>.</w:t>
      </w:r>
    </w:p>
    <w:p w14:paraId="5D2AD358" w14:textId="77777777" w:rsidR="009038AF" w:rsidRDefault="009038AF" w:rsidP="009038AF">
      <w:pPr>
        <w:rPr>
          <w:b/>
        </w:rPr>
      </w:pPr>
      <w:r>
        <w:rPr>
          <w:b/>
        </w:rPr>
        <w:t>Observation 3: At least the information about the target cells (and possibly cell measurements) need to be passed from the SN (SgNB) to the MN.</w:t>
      </w:r>
    </w:p>
    <w:p w14:paraId="062A8AF2" w14:textId="7BB4F3B8" w:rsidR="008E5C90" w:rsidRDefault="009038AF" w:rsidP="008E5C90">
      <w:pPr>
        <w:rPr>
          <w:b/>
        </w:rPr>
      </w:pPr>
      <w:r>
        <w:rPr>
          <w:b/>
        </w:rPr>
        <w:t>Proposal</w:t>
      </w:r>
      <w:r w:rsidRPr="0086469E">
        <w:rPr>
          <w:b/>
        </w:rPr>
        <w:t xml:space="preserve"> 1:</w:t>
      </w:r>
      <w:r>
        <w:rPr>
          <w:b/>
        </w:rPr>
        <w:t xml:space="preserve"> The SN (SgNB) does not need to involve the MN (MeNB) during SCG change procedure.</w:t>
      </w:r>
    </w:p>
    <w:p w14:paraId="062A8AF3" w14:textId="660A19B7" w:rsidR="008E5C90" w:rsidRDefault="005C1E5C" w:rsidP="008E5C90">
      <w:pPr>
        <w:rPr>
          <w:b/>
        </w:rPr>
      </w:pPr>
      <w:r>
        <w:rPr>
          <w:b/>
        </w:rPr>
        <w:t xml:space="preserve">Proposal 2: SN may provide at least basic information about the target cells </w:t>
      </w:r>
      <w:r w:rsidRPr="00F76579">
        <w:rPr>
          <w:b/>
        </w:rPr>
        <w:t>and possibly other information from measurement</w:t>
      </w:r>
      <w:r>
        <w:rPr>
          <w:b/>
        </w:rPr>
        <w:t>s</w:t>
      </w:r>
      <w:r w:rsidRPr="00F76579">
        <w:rPr>
          <w:b/>
        </w:rPr>
        <w:t xml:space="preserve"> needed by </w:t>
      </w:r>
      <w:r>
        <w:rPr>
          <w:b/>
        </w:rPr>
        <w:t>the MN (MeNB)</w:t>
      </w:r>
      <w:r w:rsidRPr="00F76579">
        <w:rPr>
          <w:b/>
        </w:rPr>
        <w:t xml:space="preserve"> to manage </w:t>
      </w:r>
      <w:r>
        <w:rPr>
          <w:b/>
        </w:rPr>
        <w:t>the SN (SgNB) change, which the SN (</w:t>
      </w:r>
      <w:r w:rsidRPr="00F76579">
        <w:rPr>
          <w:b/>
        </w:rPr>
        <w:t>SgNB</w:t>
      </w:r>
      <w:r>
        <w:rPr>
          <w:b/>
        </w:rPr>
        <w:t>)</w:t>
      </w:r>
      <w:r w:rsidRPr="00F76579">
        <w:rPr>
          <w:b/>
        </w:rPr>
        <w:t xml:space="preserve"> triggered</w:t>
      </w:r>
      <w:r>
        <w:rPr>
          <w:b/>
        </w:rPr>
        <w:t>.</w:t>
      </w:r>
    </w:p>
    <w:p w14:paraId="2FB7B618" w14:textId="77777777" w:rsidR="005C1E5C" w:rsidRDefault="005C1E5C" w:rsidP="008E5C90">
      <w:pPr>
        <w:rPr>
          <w:b/>
        </w:rPr>
      </w:pPr>
      <w:r>
        <w:rPr>
          <w:b/>
        </w:rPr>
        <w:t>Proposal 3: MN</w:t>
      </w:r>
      <w:r w:rsidRPr="008E5C90">
        <w:rPr>
          <w:b/>
        </w:rPr>
        <w:t xml:space="preserve"> can</w:t>
      </w:r>
      <w:r>
        <w:rPr>
          <w:b/>
        </w:rPr>
        <w:t>not</w:t>
      </w:r>
      <w:r w:rsidRPr="008E5C90">
        <w:rPr>
          <w:b/>
        </w:rPr>
        <w:t xml:space="preserve"> initiate </w:t>
      </w:r>
      <w:r>
        <w:rPr>
          <w:b/>
        </w:rPr>
        <w:t>SN</w:t>
      </w:r>
      <w:r w:rsidRPr="008E5C90">
        <w:rPr>
          <w:b/>
        </w:rPr>
        <w:t xml:space="preserve"> change procedure</w:t>
      </w:r>
      <w:r>
        <w:rPr>
          <w:b/>
        </w:rPr>
        <w:t xml:space="preserve"> but only perform addition/deletion.</w:t>
      </w:r>
    </w:p>
    <w:p w14:paraId="062A8AF4" w14:textId="29DA7F81" w:rsidR="008E5C90" w:rsidRPr="002E479D" w:rsidRDefault="00312532" w:rsidP="005C1E5C">
      <w:pPr>
        <w:rPr>
          <w:b/>
        </w:rPr>
      </w:pPr>
      <w:r>
        <w:rPr>
          <w:b/>
        </w:rPr>
        <w:t xml:space="preserve">Proposal 4: The SN </w:t>
      </w:r>
      <w:r w:rsidR="000D13D1">
        <w:rPr>
          <w:b/>
        </w:rPr>
        <w:t>can be</w:t>
      </w:r>
      <w:r>
        <w:rPr>
          <w:b/>
        </w:rPr>
        <w:t xml:space="preserve"> maintained during the inter MN HO procedure.</w:t>
      </w:r>
    </w:p>
    <w:p w14:paraId="062A8AF5" w14:textId="77777777" w:rsidR="00CD4C7B" w:rsidRPr="006E13D1" w:rsidRDefault="00CD4C7B" w:rsidP="00CD4C7B">
      <w:pPr>
        <w:pStyle w:val="Heading1"/>
      </w:pPr>
      <w:r w:rsidRPr="006E13D1">
        <w:t>References</w:t>
      </w:r>
    </w:p>
    <w:p w14:paraId="062A8AF6" w14:textId="77777777" w:rsidR="00CD4C7B" w:rsidRDefault="008E5C90" w:rsidP="008E5C90">
      <w:pPr>
        <w:numPr>
          <w:ilvl w:val="0"/>
          <w:numId w:val="4"/>
        </w:numPr>
        <w:overflowPunct w:val="0"/>
        <w:autoSpaceDE w:val="0"/>
        <w:autoSpaceDN w:val="0"/>
        <w:adjustRightInd w:val="0"/>
        <w:textAlignment w:val="baseline"/>
      </w:pPr>
      <w:bookmarkStart w:id="2" w:name="_Ref75086397"/>
      <w:r w:rsidRPr="008E5C90">
        <w:t>R2-1702011</w:t>
      </w:r>
      <w:r>
        <w:rPr>
          <w:i/>
        </w:rPr>
        <w:t xml:space="preserve">: </w:t>
      </w:r>
      <w:r w:rsidRPr="008E5C90">
        <w:rPr>
          <w:i/>
        </w:rPr>
        <w:t>Allowing secondary node to trigger SCG change</w:t>
      </w:r>
      <w:r>
        <w:t xml:space="preserve">, </w:t>
      </w:r>
      <w:r w:rsidRPr="008E5C90">
        <w:t>Nokia, Alcatel-Lucent Shanghai Bell</w:t>
      </w:r>
    </w:p>
    <w:bookmarkEnd w:id="2"/>
    <w:p w14:paraId="062A8AF7" w14:textId="77777777" w:rsidR="00CD4C7B" w:rsidRDefault="008E5C90" w:rsidP="008E5C90">
      <w:pPr>
        <w:numPr>
          <w:ilvl w:val="0"/>
          <w:numId w:val="4"/>
        </w:numPr>
        <w:overflowPunct w:val="0"/>
        <w:autoSpaceDE w:val="0"/>
        <w:autoSpaceDN w:val="0"/>
        <w:adjustRightInd w:val="0"/>
        <w:textAlignment w:val="baseline"/>
      </w:pPr>
      <w:r>
        <w:t xml:space="preserve">R2-1700920: </w:t>
      </w:r>
      <w:r w:rsidRPr="008E5C90">
        <w:rPr>
          <w:i/>
        </w:rPr>
        <w:t>Procedure for secondary node change</w:t>
      </w:r>
      <w:r>
        <w:t xml:space="preserve">, </w:t>
      </w:r>
      <w:r w:rsidRPr="008E5C90">
        <w:t>Ericsson</w:t>
      </w:r>
    </w:p>
    <w:p w14:paraId="062A8AF8" w14:textId="573006D9" w:rsidR="008E5C90" w:rsidRDefault="008E5C90" w:rsidP="008E5C90">
      <w:pPr>
        <w:numPr>
          <w:ilvl w:val="0"/>
          <w:numId w:val="4"/>
        </w:numPr>
        <w:overflowPunct w:val="0"/>
        <w:autoSpaceDE w:val="0"/>
        <w:autoSpaceDN w:val="0"/>
        <w:adjustRightInd w:val="0"/>
        <w:textAlignment w:val="baseline"/>
      </w:pPr>
      <w:r>
        <w:t xml:space="preserve">R2-17xxxxx: Draft report of the meeting </w:t>
      </w:r>
      <w:r w:rsidRPr="008E5C90">
        <w:t>3GPP TSG-RAN WG2 Meeting #97</w:t>
      </w:r>
      <w:r>
        <w:t xml:space="preserve">, RAN2 </w:t>
      </w:r>
      <w:r w:rsidRPr="008E5C90">
        <w:t>Chairman Notes</w:t>
      </w:r>
    </w:p>
    <w:p w14:paraId="6883A28C" w14:textId="1BD6ACA5" w:rsidR="005C1E5C" w:rsidRPr="006E13D1" w:rsidRDefault="002E479D" w:rsidP="002E479D">
      <w:pPr>
        <w:numPr>
          <w:ilvl w:val="0"/>
          <w:numId w:val="4"/>
        </w:numPr>
        <w:overflowPunct w:val="0"/>
        <w:autoSpaceDE w:val="0"/>
        <w:autoSpaceDN w:val="0"/>
        <w:adjustRightInd w:val="0"/>
        <w:textAlignment w:val="baseline"/>
      </w:pPr>
      <w:r w:rsidRPr="002E479D">
        <w:t>R2-1702693</w:t>
      </w:r>
      <w:r w:rsidR="005C1E5C">
        <w:t xml:space="preserve">: </w:t>
      </w:r>
      <w:r w:rsidR="005C1E5C" w:rsidRPr="005C1E5C">
        <w:t>DRAFT_R2-17xxxx0 LTE-NR measurement framework</w:t>
      </w:r>
      <w:r w:rsidR="005C1E5C">
        <w:t xml:space="preserve">, </w:t>
      </w:r>
      <w:r w:rsidR="005C1E5C" w:rsidRPr="008E5C90">
        <w:t>Nokia, Alcatel-Lucent Shanghai Bell</w:t>
      </w:r>
    </w:p>
    <w:p w14:paraId="062A8AF9" w14:textId="77777777" w:rsidR="00CD4C7B" w:rsidRPr="006E13D1" w:rsidRDefault="00CD4C7B" w:rsidP="00CD4C7B"/>
    <w:p w14:paraId="062A8AFA" w14:textId="77777777" w:rsidR="00CD4C7B" w:rsidRDefault="00CD4C7B" w:rsidP="00CD4C7B"/>
    <w:p w14:paraId="062A8AFB"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47342" w14:textId="77777777" w:rsidR="00736D4E" w:rsidRDefault="00736D4E">
      <w:r>
        <w:separator/>
      </w:r>
    </w:p>
  </w:endnote>
  <w:endnote w:type="continuationSeparator" w:id="0">
    <w:p w14:paraId="1E9FF46C" w14:textId="77777777" w:rsidR="00736D4E" w:rsidRDefault="0073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CB458" w14:textId="77777777" w:rsidR="00736D4E" w:rsidRDefault="00736D4E">
      <w:r>
        <w:separator/>
      </w:r>
    </w:p>
  </w:footnote>
  <w:footnote w:type="continuationSeparator" w:id="0">
    <w:p w14:paraId="2BB73089" w14:textId="77777777" w:rsidR="00736D4E" w:rsidRDefault="0073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DD4D69"/>
    <w:multiLevelType w:val="hybridMultilevel"/>
    <w:tmpl w:val="D6AC1058"/>
    <w:lvl w:ilvl="0" w:tplc="A7E8FD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36988"/>
    <w:multiLevelType w:val="hybridMultilevel"/>
    <w:tmpl w:val="AE7650EA"/>
    <w:lvl w:ilvl="0" w:tplc="368E2D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13D1"/>
    <w:rsid w:val="000D2BE9"/>
    <w:rsid w:val="000D58AB"/>
    <w:rsid w:val="00102465"/>
    <w:rsid w:val="00115CA9"/>
    <w:rsid w:val="00126D5D"/>
    <w:rsid w:val="00145075"/>
    <w:rsid w:val="001741A0"/>
    <w:rsid w:val="00177AF7"/>
    <w:rsid w:val="00185D8C"/>
    <w:rsid w:val="001904FF"/>
    <w:rsid w:val="00194CD0"/>
    <w:rsid w:val="001B49C9"/>
    <w:rsid w:val="001C3A00"/>
    <w:rsid w:val="001D5313"/>
    <w:rsid w:val="001F168B"/>
    <w:rsid w:val="001F7831"/>
    <w:rsid w:val="00204045"/>
    <w:rsid w:val="0022606D"/>
    <w:rsid w:val="002747EC"/>
    <w:rsid w:val="00275FFA"/>
    <w:rsid w:val="002855BF"/>
    <w:rsid w:val="002E479D"/>
    <w:rsid w:val="002F0D22"/>
    <w:rsid w:val="00302C22"/>
    <w:rsid w:val="00312532"/>
    <w:rsid w:val="003172DC"/>
    <w:rsid w:val="00326069"/>
    <w:rsid w:val="0035462D"/>
    <w:rsid w:val="00376A82"/>
    <w:rsid w:val="00391C3D"/>
    <w:rsid w:val="003B40AD"/>
    <w:rsid w:val="003C4E37"/>
    <w:rsid w:val="003E08E5"/>
    <w:rsid w:val="003E16BE"/>
    <w:rsid w:val="003F66A7"/>
    <w:rsid w:val="00401855"/>
    <w:rsid w:val="00437981"/>
    <w:rsid w:val="004660BC"/>
    <w:rsid w:val="00477455"/>
    <w:rsid w:val="00483369"/>
    <w:rsid w:val="004A67E4"/>
    <w:rsid w:val="004D3578"/>
    <w:rsid w:val="004D380D"/>
    <w:rsid w:val="004E213A"/>
    <w:rsid w:val="004F0029"/>
    <w:rsid w:val="004F42A2"/>
    <w:rsid w:val="00503171"/>
    <w:rsid w:val="00506C28"/>
    <w:rsid w:val="00534DA0"/>
    <w:rsid w:val="00541BD2"/>
    <w:rsid w:val="00543E6C"/>
    <w:rsid w:val="00565087"/>
    <w:rsid w:val="0056573F"/>
    <w:rsid w:val="005B4329"/>
    <w:rsid w:val="005B5AD9"/>
    <w:rsid w:val="005C1E5C"/>
    <w:rsid w:val="00611566"/>
    <w:rsid w:val="0064062E"/>
    <w:rsid w:val="00646D99"/>
    <w:rsid w:val="00656910"/>
    <w:rsid w:val="006654E5"/>
    <w:rsid w:val="00692788"/>
    <w:rsid w:val="006B7FAC"/>
    <w:rsid w:val="006C66D8"/>
    <w:rsid w:val="006D1E24"/>
    <w:rsid w:val="006E1417"/>
    <w:rsid w:val="006E53FB"/>
    <w:rsid w:val="006F6A2C"/>
    <w:rsid w:val="00707D00"/>
    <w:rsid w:val="00734A5B"/>
    <w:rsid w:val="00736D4E"/>
    <w:rsid w:val="00744E76"/>
    <w:rsid w:val="00757D40"/>
    <w:rsid w:val="00781F0F"/>
    <w:rsid w:val="0078727C"/>
    <w:rsid w:val="0079049D"/>
    <w:rsid w:val="007A1822"/>
    <w:rsid w:val="007B18D8"/>
    <w:rsid w:val="007C095F"/>
    <w:rsid w:val="007C1B7A"/>
    <w:rsid w:val="007C2B5A"/>
    <w:rsid w:val="007E1C07"/>
    <w:rsid w:val="007E50AA"/>
    <w:rsid w:val="008028A4"/>
    <w:rsid w:val="00813245"/>
    <w:rsid w:val="0086469E"/>
    <w:rsid w:val="008768CA"/>
    <w:rsid w:val="00877EF9"/>
    <w:rsid w:val="00880559"/>
    <w:rsid w:val="00885869"/>
    <w:rsid w:val="008B5306"/>
    <w:rsid w:val="008E5C90"/>
    <w:rsid w:val="0090271F"/>
    <w:rsid w:val="00902DB9"/>
    <w:rsid w:val="009038AF"/>
    <w:rsid w:val="0090466A"/>
    <w:rsid w:val="00921964"/>
    <w:rsid w:val="00936071"/>
    <w:rsid w:val="00940212"/>
    <w:rsid w:val="00942EC2"/>
    <w:rsid w:val="009500E7"/>
    <w:rsid w:val="00961B32"/>
    <w:rsid w:val="0096454E"/>
    <w:rsid w:val="00974BB0"/>
    <w:rsid w:val="00993EF1"/>
    <w:rsid w:val="009A0AF3"/>
    <w:rsid w:val="009A56BE"/>
    <w:rsid w:val="009B07CD"/>
    <w:rsid w:val="009C19E9"/>
    <w:rsid w:val="009E52C8"/>
    <w:rsid w:val="009E564D"/>
    <w:rsid w:val="00A10C24"/>
    <w:rsid w:val="00A10F02"/>
    <w:rsid w:val="00A204CA"/>
    <w:rsid w:val="00A53724"/>
    <w:rsid w:val="00A82346"/>
    <w:rsid w:val="00A9671C"/>
    <w:rsid w:val="00AA1553"/>
    <w:rsid w:val="00AB7D38"/>
    <w:rsid w:val="00AE7994"/>
    <w:rsid w:val="00B15449"/>
    <w:rsid w:val="00B47FD1"/>
    <w:rsid w:val="00B516BB"/>
    <w:rsid w:val="00B56C50"/>
    <w:rsid w:val="00B841FA"/>
    <w:rsid w:val="00C12B51"/>
    <w:rsid w:val="00C13C3C"/>
    <w:rsid w:val="00C24650"/>
    <w:rsid w:val="00C33079"/>
    <w:rsid w:val="00C712D4"/>
    <w:rsid w:val="00C75F7A"/>
    <w:rsid w:val="00C83A13"/>
    <w:rsid w:val="00C92967"/>
    <w:rsid w:val="00CA3D0C"/>
    <w:rsid w:val="00CA654B"/>
    <w:rsid w:val="00CD4C7B"/>
    <w:rsid w:val="00CE06F6"/>
    <w:rsid w:val="00CE0A69"/>
    <w:rsid w:val="00D738D6"/>
    <w:rsid w:val="00D7700A"/>
    <w:rsid w:val="00D80795"/>
    <w:rsid w:val="00D87E00"/>
    <w:rsid w:val="00D9134D"/>
    <w:rsid w:val="00D96D11"/>
    <w:rsid w:val="00DA7A03"/>
    <w:rsid w:val="00DB1818"/>
    <w:rsid w:val="00DB594A"/>
    <w:rsid w:val="00DC309B"/>
    <w:rsid w:val="00DC4DA2"/>
    <w:rsid w:val="00E1534A"/>
    <w:rsid w:val="00E5062F"/>
    <w:rsid w:val="00E62835"/>
    <w:rsid w:val="00E77645"/>
    <w:rsid w:val="00E83697"/>
    <w:rsid w:val="00EC2059"/>
    <w:rsid w:val="00EC4A25"/>
    <w:rsid w:val="00EF5C50"/>
    <w:rsid w:val="00F025A2"/>
    <w:rsid w:val="00F07388"/>
    <w:rsid w:val="00F2026E"/>
    <w:rsid w:val="00F2210A"/>
    <w:rsid w:val="00F2548F"/>
    <w:rsid w:val="00F37743"/>
    <w:rsid w:val="00F54A3D"/>
    <w:rsid w:val="00F653B8"/>
    <w:rsid w:val="00F71B89"/>
    <w:rsid w:val="00F7353C"/>
    <w:rsid w:val="00F76579"/>
    <w:rsid w:val="00F76F8F"/>
    <w:rsid w:val="00FA1266"/>
    <w:rsid w:val="00FA7F45"/>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A8ABB"/>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1024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2465"/>
    <w:rPr>
      <w:rFonts w:ascii="Arial" w:eastAsia="MS Mincho" w:hAnsi="Arial"/>
      <w:szCs w:val="24"/>
    </w:rPr>
  </w:style>
  <w:style w:type="character" w:customStyle="1" w:styleId="TFChar">
    <w:name w:val="TF Char"/>
    <w:link w:val="TF"/>
    <w:rsid w:val="00921964"/>
    <w:rPr>
      <w:rFonts w:ascii="Arial" w:hAnsi="Arial"/>
      <w:b/>
      <w:lang w:eastAsia="en-US"/>
    </w:rPr>
  </w:style>
  <w:style w:type="paragraph" w:styleId="ListParagraph">
    <w:name w:val="List Paragraph"/>
    <w:basedOn w:val="Normal"/>
    <w:uiPriority w:val="34"/>
    <w:qFormat/>
    <w:rsid w:val="0064062E"/>
    <w:pPr>
      <w:ind w:left="720"/>
      <w:contextualSpacing/>
    </w:pPr>
  </w:style>
  <w:style w:type="character" w:styleId="CommentReference">
    <w:name w:val="annotation reference"/>
    <w:basedOn w:val="DefaultParagraphFont"/>
    <w:rsid w:val="004660BC"/>
    <w:rPr>
      <w:sz w:val="16"/>
      <w:szCs w:val="16"/>
    </w:rPr>
  </w:style>
  <w:style w:type="paragraph" w:styleId="CommentText">
    <w:name w:val="annotation text"/>
    <w:basedOn w:val="Normal"/>
    <w:link w:val="CommentTextChar"/>
    <w:rsid w:val="004660BC"/>
  </w:style>
  <w:style w:type="character" w:customStyle="1" w:styleId="CommentTextChar">
    <w:name w:val="Comment Text Char"/>
    <w:basedOn w:val="DefaultParagraphFont"/>
    <w:link w:val="CommentText"/>
    <w:rsid w:val="004660BC"/>
    <w:rPr>
      <w:lang w:eastAsia="en-US"/>
    </w:rPr>
  </w:style>
  <w:style w:type="paragraph" w:styleId="CommentSubject">
    <w:name w:val="annotation subject"/>
    <w:basedOn w:val="CommentText"/>
    <w:next w:val="CommentText"/>
    <w:link w:val="CommentSubjectChar"/>
    <w:rsid w:val="004660BC"/>
    <w:rPr>
      <w:b/>
      <w:bCs/>
    </w:rPr>
  </w:style>
  <w:style w:type="character" w:customStyle="1" w:styleId="CommentSubjectChar">
    <w:name w:val="Comment Subject Char"/>
    <w:basedOn w:val="CommentTextChar"/>
    <w:link w:val="CommentSubject"/>
    <w:rsid w:val="004660BC"/>
    <w:rPr>
      <w:b/>
      <w:bCs/>
      <w:lang w:eastAsia="en-US"/>
    </w:rPr>
  </w:style>
  <w:style w:type="paragraph" w:styleId="BalloonText">
    <w:name w:val="Balloon Text"/>
    <w:basedOn w:val="Normal"/>
    <w:link w:val="BalloonTextChar"/>
    <w:rsid w:val="004660BC"/>
    <w:pPr>
      <w:spacing w:after="0"/>
    </w:pPr>
    <w:rPr>
      <w:rFonts w:ascii="Segoe UI" w:hAnsi="Segoe UI" w:cs="Segoe UI"/>
      <w:sz w:val="18"/>
      <w:szCs w:val="18"/>
    </w:rPr>
  </w:style>
  <w:style w:type="character" w:customStyle="1" w:styleId="BalloonTextChar">
    <w:name w:val="Balloon Text Char"/>
    <w:basedOn w:val="DefaultParagraphFont"/>
    <w:link w:val="BalloonText"/>
    <w:rsid w:val="004660B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5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SP-5AIRPNAIUNRU-859666464-36</_dlc_DocId>
    <_dlc_DocIdUrl xmlns="71c5aaf6-e6ce-465b-b873-5148d2a4c105">
      <Url>https://nokia.sharepoint.com/sites/c5g/e2earch/_layouts/15/DocIdRedir.aspx?ID=SP-5AIRPNAIUNRU-859666464-36</Url>
      <Description>SP-5AIRPNAIUNRU-859666464-36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66DCD-829A-4734-BB92-E156367C7BA1}">
  <ds:schemaRefs>
    <ds:schemaRef ds:uri="http://schemas.microsoft.com/sharepoint/events"/>
  </ds:schemaRefs>
</ds:datastoreItem>
</file>

<file path=customXml/itemProps2.xml><?xml version="1.0" encoding="utf-8"?>
<ds:datastoreItem xmlns:ds="http://schemas.openxmlformats.org/officeDocument/2006/customXml" ds:itemID="{43DDABD1-70BE-4E7E-B690-C65D8EBF55C8}">
  <ds:schemaRefs>
    <ds:schemaRef ds:uri="http://schemas.microsoft.com/sharepoint/v3/contenttype/forms"/>
  </ds:schemaRefs>
</ds:datastoreItem>
</file>

<file path=customXml/itemProps3.xml><?xml version="1.0" encoding="utf-8"?>
<ds:datastoreItem xmlns:ds="http://schemas.openxmlformats.org/officeDocument/2006/customXml" ds:itemID="{C44E5022-4BB2-431E-8189-4399E42B7C9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D446B42-C791-478F-A53F-F263B30B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393</TotalTime>
  <Pages>3</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7851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Ali, Amaanat (Nokia - FI/Espoo)</cp:lastModifiedBy>
  <cp:revision>54</cp:revision>
  <dcterms:created xsi:type="dcterms:W3CDTF">2016-08-12T03:53:00Z</dcterms:created>
  <dcterms:modified xsi:type="dcterms:W3CDTF">2017-03-24T13:51:00Z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cc2cba46-c5d3-43f7-9a05-dbfc68f4e80a</vt:lpwstr>
  </property>
</Properties>
</file>